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-11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4C7538" w:rsidRPr="00485702" w14:paraId="673476FF" w14:textId="77777777" w:rsidTr="004C7538">
        <w:trPr>
          <w:trHeight w:val="491"/>
        </w:trPr>
        <w:tc>
          <w:tcPr>
            <w:tcW w:w="3119" w:type="dxa"/>
          </w:tcPr>
          <w:p w14:paraId="226C11CC" w14:textId="01042A80" w:rsidR="004C7538" w:rsidRDefault="004C7538" w:rsidP="004C7538">
            <w:pPr>
              <w:pStyle w:val="Bezmezer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Evidenční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číslo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smlouvy</w:t>
            </w:r>
            <w:proofErr w:type="spellEnd"/>
            <w:r w:rsidRPr="00485702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85702">
              <w:rPr>
                <w:sz w:val="18"/>
                <w:szCs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5702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485702">
              <w:rPr>
                <w:sz w:val="18"/>
                <w:szCs w:val="18"/>
                <w:lang w:val="en-US"/>
              </w:rPr>
            </w:r>
            <w:r w:rsidRPr="00485702">
              <w:rPr>
                <w:sz w:val="18"/>
                <w:szCs w:val="18"/>
                <w:lang w:val="en-US"/>
              </w:rPr>
              <w:fldChar w:fldCharType="separate"/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fldChar w:fldCharType="end"/>
            </w:r>
          </w:p>
          <w:p w14:paraId="26F384A5" w14:textId="6301E7AD" w:rsidR="004C7538" w:rsidRPr="00485702" w:rsidRDefault="004C7538" w:rsidP="004C7538">
            <w:pPr>
              <w:pStyle w:val="Bezmezer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společnosti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</w:t>
            </w:r>
            <w:r w:rsidRPr="00485702">
              <w:rPr>
                <w:sz w:val="18"/>
                <w:szCs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5702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485702">
              <w:rPr>
                <w:sz w:val="18"/>
                <w:szCs w:val="18"/>
                <w:lang w:val="en-US"/>
              </w:rPr>
            </w:r>
            <w:r w:rsidRPr="00485702">
              <w:rPr>
                <w:sz w:val="18"/>
                <w:szCs w:val="18"/>
                <w:lang w:val="en-US"/>
              </w:rPr>
              <w:fldChar w:fldCharType="separate"/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t> </w:t>
            </w:r>
            <w:r w:rsidRPr="00485702"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EEE7D62" w14:textId="77777777" w:rsidR="004C7538" w:rsidRPr="00572F0A" w:rsidRDefault="009879D7" w:rsidP="009879D7">
      <w:pPr>
        <w:jc w:val="center"/>
        <w:rPr>
          <w:rFonts w:ascii="Calibri" w:hAnsi="Calibri"/>
        </w:rPr>
      </w:pPr>
      <w:r w:rsidRPr="00572F0A">
        <w:rPr>
          <w:rFonts w:ascii="Calibri" w:hAnsi="Calibri"/>
        </w:rPr>
        <w:t>Prohlášení údajů nezbytných k provedení kontroly klienta podle zákona č. 253/20</w:t>
      </w:r>
    </w:p>
    <w:p w14:paraId="65FD9DD9" w14:textId="4BADA061" w:rsidR="009879D7" w:rsidRDefault="009879D7" w:rsidP="009879D7">
      <w:pPr>
        <w:jc w:val="center"/>
        <w:rPr>
          <w:rFonts w:ascii="Calibri" w:hAnsi="Calibri"/>
        </w:rPr>
      </w:pPr>
      <w:r w:rsidRPr="00572F0A">
        <w:rPr>
          <w:rFonts w:ascii="Calibri" w:hAnsi="Calibri"/>
        </w:rPr>
        <w:t>08 Sb.</w:t>
      </w:r>
      <w:r w:rsidRPr="003D2769">
        <w:t xml:space="preserve"> </w:t>
      </w:r>
      <w:r w:rsidRPr="003D2769">
        <w:rPr>
          <w:rFonts w:ascii="Calibri" w:hAnsi="Calibri"/>
        </w:rPr>
        <w:t>o některých opatřeních proti legalizaci výnosů z trestné činnosti a financování terorismu</w:t>
      </w:r>
      <w:r>
        <w:rPr>
          <w:rFonts w:ascii="Calibri" w:hAnsi="Calibri"/>
        </w:rPr>
        <w:t>, v platném znění.</w:t>
      </w:r>
      <w:bookmarkStart w:id="0" w:name="OLE_LINK43"/>
      <w:bookmarkStart w:id="1" w:name="OLE_LINK44"/>
      <w:bookmarkStart w:id="2" w:name="OLE_LINK45"/>
      <w:bookmarkStart w:id="3" w:name="OLE_LINK46"/>
      <w:bookmarkStart w:id="4" w:name="OLE_LINK47"/>
    </w:p>
    <w:p w14:paraId="50148743" w14:textId="77777777" w:rsidR="009879D7" w:rsidRDefault="009879D7" w:rsidP="009879D7">
      <w:pPr>
        <w:jc w:val="center"/>
        <w:rPr>
          <w:rFonts w:ascii="Calibri" w:hAnsi="Calibri"/>
        </w:rPr>
      </w:pPr>
    </w:p>
    <w:p w14:paraId="6C6CF7E6" w14:textId="07A74BAA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Společnost OTE, a.s., je vázána zákonem č. 253/2008 Sb.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,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o některých opatřeních proti praní špinavých peněz a financování terorismu.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Podle tohoto zákona musí společnost OTE, a.s., před navázáním obchodního vztahu provést tzv. kontrolu klienta, zejména zjistit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povahu navazovaného obchodního vztahu, a také je-li klientem právnická osoba, zjistit jejího skutečného majitele.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Zákonnou povinností klienta je informace pro účely kontroly poskytnout. Děkujeme za spolupráci.</w:t>
      </w:r>
    </w:p>
    <w:p w14:paraId="2B6F2DF7" w14:textId="77777777" w:rsidR="009879D7" w:rsidRPr="00F20740" w:rsidRDefault="00000000" w:rsidP="009879D7">
      <w:pPr>
        <w:rPr>
          <w:rFonts w:asciiTheme="minorHAnsi" w:eastAsiaTheme="minorHAnsi" w:hAnsiTheme="minorHAnsi" w:cstheme="minorBidi"/>
          <w:sz w:val="2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18"/>
          <w:lang w:eastAsia="en-US"/>
        </w:rPr>
        <w:pict w14:anchorId="4F36B716">
          <v:rect id="_x0000_i1025" style="width:523.3pt;height:1.5pt;mso-position-vertical:absolute" o:hralign="center" o:hrstd="t" o:hrnoshade="t" o:hr="t" fillcolor="black [3213]" stroked="f"/>
        </w:pict>
      </w:r>
    </w:p>
    <w:p w14:paraId="63431680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  <w:t>1. Prohlášení k zamýšlené povaze obchodního vztahu:</w:t>
      </w:r>
    </w:p>
    <w:p w14:paraId="1FC30811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Povinností společnosti OTE, a.s., je získat informaci o účelu obchodního vztahu.</w:t>
      </w:r>
    </w:p>
    <w:p w14:paraId="1819264E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Klient prohlašuje, že účelem obchodního vztahu je (vyberte alespoň jednu možnost, případně doplňte detaily):</w:t>
      </w:r>
    </w:p>
    <w:p w14:paraId="17DF45AC" w14:textId="77777777" w:rsidR="009879D7" w:rsidRPr="00F20740" w:rsidRDefault="009879D7" w:rsidP="009879D7">
      <w:pPr>
        <w:ind w:left="993" w:hanging="284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FORMCHECKBOX </w:instrText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zřízení účtu povinně zřizovaného podle zákona č. 383/2012 Sb. o podmínkách obchodování s povolenkami na emise skleníkových plynů</w:t>
      </w:r>
    </w:p>
    <w:p w14:paraId="6B8087F6" w14:textId="77777777" w:rsidR="009879D7" w:rsidRPr="00F20740" w:rsidRDefault="009879D7" w:rsidP="009879D7">
      <w:pPr>
        <w:ind w:left="993" w:hanging="284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FORMCHECKBOX </w:instrText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zřízení účtu za účelem obchodování s emisními jednotkami (AAU, CER, ERU a povolenkami dle Nařízení Komise v přenesené pravomoci (EU) 2019/1122, kterým se doplňuje směrnice </w:t>
      </w:r>
      <w:proofErr w:type="spellStart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Evr</w:t>
      </w:r>
      <w:proofErr w:type="spellEnd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. </w:t>
      </w:r>
      <w:proofErr w:type="spellStart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Parlam</w:t>
      </w:r>
      <w:proofErr w:type="spellEnd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. a Rady 2003/87/ES, pokud jde o fungování registru Unie</w:t>
      </w:r>
    </w:p>
    <w:p w14:paraId="3CECD636" w14:textId="77777777" w:rsidR="009879D7" w:rsidRPr="00F20740" w:rsidRDefault="009879D7" w:rsidP="009879D7">
      <w:pPr>
        <w:ind w:left="993" w:hanging="284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FORMCHECKBOX </w:instrText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jiný účel (doplňte podrobnosti):</w:t>
      </w:r>
    </w:p>
    <w:tbl>
      <w:tblPr>
        <w:tblStyle w:val="Mkatabulky2"/>
        <w:tblW w:w="0" w:type="auto"/>
        <w:tblInd w:w="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8"/>
      </w:tblGrid>
      <w:tr w:rsidR="009879D7" w:rsidRPr="00F20740" w14:paraId="691B5A09" w14:textId="77777777" w:rsidTr="00DC7ED0">
        <w:trPr>
          <w:trHeight w:val="492"/>
        </w:trPr>
        <w:tc>
          <w:tcPr>
            <w:tcW w:w="9458" w:type="dxa"/>
          </w:tcPr>
          <w:p w14:paraId="64E2BA8B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</w:tbl>
    <w:p w14:paraId="5959E88E" w14:textId="77777777" w:rsidR="009879D7" w:rsidRPr="00F20740" w:rsidRDefault="00000000" w:rsidP="009879D7">
      <w:pPr>
        <w:rPr>
          <w:rFonts w:asciiTheme="minorHAnsi" w:eastAsiaTheme="minorHAnsi" w:hAnsiTheme="minorHAnsi" w:cstheme="minorBidi"/>
          <w:sz w:val="2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18"/>
          <w:lang w:eastAsia="en-US"/>
        </w:rPr>
        <w:pict w14:anchorId="011A94FF">
          <v:rect id="_x0000_i1026" style="width:523.3pt;height:1.5pt;mso-position-vertical:absolute" o:hralign="center" o:hrstd="t" o:hrnoshade="t" o:hr="t" fillcolor="black [3213]" stroked="f"/>
        </w:pict>
      </w:r>
    </w:p>
    <w:p w14:paraId="693B6EE4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  <w:t>2. Prohlášení ohledně skutečného majitele právnické osoby:</w:t>
      </w:r>
    </w:p>
    <w:p w14:paraId="281A22D5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Je-li klientem právnická osoba, povinností společnosti OTE, a.s., je získat informaci o jejím skutečném majiteli a také několik identifikačních údajů těchto osob. U klienta – fyzické osoby se táto část nevyplňuje.</w:t>
      </w:r>
    </w:p>
    <w:p w14:paraId="0DB6FE7A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14"/>
          <w:szCs w:val="18"/>
          <w:u w:val="single"/>
          <w:lang w:eastAsia="en-US"/>
        </w:rPr>
        <w:t>Skutečným majitelem právnické osoby – obchodní korporace</w:t>
      </w: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 se podle č. 37/2021 Sb., zákon o evidenci skutečných majitelů, rozumí každá fyzická osoba, 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>která v konečném důsledku vlastní nebo kontroluje právnickou osobu nebo právní uspořádání</w:t>
      </w: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:</w:t>
      </w:r>
    </w:p>
    <w:p w14:paraId="404D5188" w14:textId="77777777" w:rsidR="009879D7" w:rsidRDefault="009879D7" w:rsidP="009879D7">
      <w:pPr>
        <w:spacing w:after="200" w:line="276" w:lineRule="auto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>a) má podíl v korporaci nebo podíl na hlasovacích právech větší než 25 %,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br/>
        <w:t>b) má právo na podíl na zisku, jiných vlastních zdrojích nebo likvidačním zůstatku větší než 25 %,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br/>
        <w:t>c) uplatňuje rozhodující vliv v korporaci nebo korporacích, které mají v dané korporaci samostatně nebo společně podíl větší než 25 %, nebo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br/>
        <w:t>d) uplatňuje rozhodující vliv v korporaci jinými prostředky</w:t>
      </w:r>
    </w:p>
    <w:p w14:paraId="713DA59F" w14:textId="77777777" w:rsidR="009879D7" w:rsidRPr="00F20740" w:rsidRDefault="009879D7" w:rsidP="009879D7">
      <w:pPr>
        <w:numPr>
          <w:ilvl w:val="0"/>
          <w:numId w:val="6"/>
        </w:numPr>
        <w:spacing w:after="120" w:line="276" w:lineRule="auto"/>
        <w:ind w:left="714" w:hanging="357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Dle 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>Zákon</w:t>
      </w:r>
      <w:r>
        <w:rPr>
          <w:rFonts w:asciiTheme="minorHAnsi" w:eastAsiaTheme="minorHAnsi" w:hAnsiTheme="minorHAnsi" w:cstheme="minorBidi"/>
          <w:sz w:val="14"/>
          <w:szCs w:val="18"/>
          <w:lang w:eastAsia="en-US"/>
        </w:rPr>
        <w:t>a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 č. 90/2012 Sb., o obchodních společnostech a družstvech (zákon o obchodních korporacích), ve znění pozdějších předpisů</w:t>
      </w:r>
      <w:r>
        <w:rPr>
          <w:rFonts w:asciiTheme="minorHAnsi" w:eastAsiaTheme="minorHAnsi" w:hAnsiTheme="minorHAnsi" w:cstheme="minorBidi"/>
          <w:sz w:val="14"/>
          <w:szCs w:val="18"/>
          <w:lang w:eastAsia="en-US"/>
        </w:rPr>
        <w:t>,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14"/>
          <w:szCs w:val="18"/>
          <w:lang w:eastAsia="en-US"/>
        </w:rPr>
        <w:t>r</w:t>
      </w:r>
      <w:r w:rsidRPr="00CD3733">
        <w:rPr>
          <w:rFonts w:asciiTheme="minorHAnsi" w:eastAsiaTheme="minorHAnsi" w:hAnsiTheme="minorHAnsi" w:cstheme="minorBidi"/>
          <w:sz w:val="14"/>
          <w:szCs w:val="18"/>
          <w:lang w:eastAsia="en-US"/>
        </w:rPr>
        <w:t>ozhodující vliv v korporaci uplatňuje ten, kdo na základě vlastního uvážení, bez ohledu na to, zda a na základě jaké právní skutečnosti, může přímo nebo nepřímo prostřednictvím jiné osoby nebo právního uspořádání dosáhnout toho, že rozhodování nejvyššího orgánu korporace odpovídá jeho vůli. Rozhodující vliv v obchodní korporaci uplatňuje ovládající osoba podle zákona upravujícího právní poměry obchodních korporací.</w:t>
      </w:r>
    </w:p>
    <w:p w14:paraId="6507AF15" w14:textId="77777777" w:rsidR="009879D7" w:rsidRPr="00F20740" w:rsidRDefault="009879D7" w:rsidP="009879D7">
      <w:pPr>
        <w:spacing w:after="1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Pro </w:t>
      </w:r>
      <w:r w:rsidRPr="00F20740">
        <w:rPr>
          <w:rFonts w:asciiTheme="minorHAnsi" w:eastAsiaTheme="minorHAnsi" w:hAnsiTheme="minorHAnsi" w:cstheme="minorBidi"/>
          <w:b/>
          <w:sz w:val="14"/>
          <w:szCs w:val="18"/>
          <w:lang w:eastAsia="en-US"/>
        </w:rPr>
        <w:t>jiné entity než obchodní korporace</w:t>
      </w: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 (korporace, fundace atd.) může zákon č. 37/2021 Sb., zákon o evidenci skutečných majitelů, stanovit jinou definici skutečného majitele, proto se Vám doporučujeme s ní plně seznámit.</w:t>
      </w:r>
    </w:p>
    <w:p w14:paraId="72D4AF3D" w14:textId="77777777" w:rsidR="009879D7" w:rsidRPr="00F20740" w:rsidRDefault="009879D7" w:rsidP="009879D7">
      <w:pPr>
        <w:spacing w:after="1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bCs/>
          <w:sz w:val="14"/>
          <w:szCs w:val="18"/>
          <w:lang w:eastAsia="en-US"/>
        </w:rPr>
        <w:t>Skutečného majitele nemá</w:t>
      </w: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 stát a územní samosprávný celek, dobrovolný svazek obcí, státní příspěvková organizace a příspěvková organizace územního samosprávného celku, školská právnická osoba zřízená státem, územním samosprávným celkem nebo dobrovolným svazkem obcí, veřejná výzkumná instituce, právnická osoba zřízená zákonem nebo mezinárodní smlouvou, státní podnik a národní podnik, okresní a regionální komora nebo začleněné společenstvo podle jiného zákona, evropské seskupení pro územní spolupráci, politická strana a politické hnutí, církev a náboženská společnost a ostatní právnické osoby podle zákona upravujícího církve a náboženské společnosti, odborová organizace a organizace zaměstnavatelů, honební společenstvo, společenství vlastníků jednotek, právnická osoba, ve které má přímo nebo nepřímo veškeré podíly na prospěchu a hlasovacích právech Česká republika, kraj nebo obec, a obecně prospěšná společnost a ústav, jejichž zakladatelem je Česká republika, kraj nebo obec.</w:t>
      </w:r>
    </w:p>
    <w:p w14:paraId="6453A59A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 xml:space="preserve">Dále platí, že </w:t>
      </w:r>
      <w:r w:rsidRPr="00F20740">
        <w:rPr>
          <w:rFonts w:asciiTheme="minorHAnsi" w:eastAsiaTheme="minorHAnsi" w:hAnsiTheme="minorHAnsi" w:cstheme="minorBidi"/>
          <w:b/>
          <w:sz w:val="14"/>
          <w:szCs w:val="18"/>
          <w:lang w:eastAsia="en-US"/>
        </w:rPr>
        <w:t>každá osoba ve vrcholném vedení korporace je jejím skutečným majitelem v případě</w:t>
      </w: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, že</w:t>
      </w:r>
    </w:p>
    <w:p w14:paraId="7804FB41" w14:textId="77777777" w:rsidR="009879D7" w:rsidRPr="00F20740" w:rsidRDefault="009879D7" w:rsidP="009879D7">
      <w:pPr>
        <w:ind w:left="7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a) nelze-li žádného skutečného majitele určit ani při vynaložení veškerého úsilí, které lze po evidující osobě rozumně požadovat, nebo</w:t>
      </w:r>
    </w:p>
    <w:p w14:paraId="7227E58B" w14:textId="77777777" w:rsidR="009879D7" w:rsidRPr="00F20740" w:rsidRDefault="009879D7" w:rsidP="009879D7">
      <w:pPr>
        <w:spacing w:after="120"/>
        <w:ind w:left="7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b) je-li osobou s koncovým vlivem v korporaci právnická osoba, která nemá skutečného majitele podle výčtu uvedeného výše.</w:t>
      </w:r>
    </w:p>
    <w:p w14:paraId="7F9E0C4A" w14:textId="77777777" w:rsidR="009879D7" w:rsidRPr="00F20740" w:rsidRDefault="009879D7" w:rsidP="009879D7">
      <w:pPr>
        <w:spacing w:after="1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Je-li osobou s koncovým vlivem v korporaci právnická osoba, která nemá skutečného majitele podle výčtu výše, a zároveň je koncovým příjemcem korporace jiná osoba, platí, že skutečnými majiteli korporace jsou každá osoba ve vrcholném vedení této korporace a každá fyzická osoba, která je jejím koncovým příjemcem.</w:t>
      </w:r>
    </w:p>
    <w:p w14:paraId="6D4A6A64" w14:textId="77777777" w:rsidR="009879D7" w:rsidRPr="00F20740" w:rsidRDefault="009879D7" w:rsidP="009879D7">
      <w:pPr>
        <w:spacing w:after="1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Je-li osobou s koncovým vlivem právnická osoba, jejíž skutečný majitel je určen podle odstavce 1 nebo 2, platí, že každá osoba v jejím vrcholném vedení je také skutečným majitelem všech korporací v jí podřízené struktuře vztahů.</w:t>
      </w:r>
    </w:p>
    <w:p w14:paraId="5AE073BD" w14:textId="77777777" w:rsidR="009879D7" w:rsidRPr="00F20740" w:rsidRDefault="009879D7" w:rsidP="009879D7">
      <w:pPr>
        <w:spacing w:after="120"/>
        <w:jc w:val="both"/>
        <w:rPr>
          <w:rFonts w:asciiTheme="minorHAnsi" w:eastAsiaTheme="minorHAnsi" w:hAnsiTheme="minorHAnsi" w:cstheme="minorBid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4"/>
          <w:szCs w:val="18"/>
          <w:lang w:eastAsia="en-US"/>
        </w:rPr>
        <w:t>Zde uvedené definice jsou pouze rámcové a nemusí být úplné. Je na každé právnické osobě, aby o svém skutečném majiteli nebo o skutečném majiteli právního uspořádání získala a zaznamenávala úplné, přesné a aktuální údaje stanovené zákonem č. č. 37/2021 Sb., zákon o evidenci skutečných majitelů.</w:t>
      </w:r>
    </w:p>
    <w:p w14:paraId="6FC50BC6" w14:textId="77777777" w:rsidR="009879D7" w:rsidRDefault="009879D7" w:rsidP="009879D7">
      <w:pPr>
        <w:spacing w:after="12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5619D44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Klient prohlašuje, že jeho skutečnými majiteli jsou následující osoby:</w:t>
      </w:r>
    </w:p>
    <w:tbl>
      <w:tblPr>
        <w:tblStyle w:val="Mkatabulky2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7"/>
        <w:gridCol w:w="3937"/>
        <w:gridCol w:w="1299"/>
        <w:gridCol w:w="1991"/>
      </w:tblGrid>
      <w:tr w:rsidR="009879D7" w:rsidRPr="00F20740" w14:paraId="743800BA" w14:textId="77777777" w:rsidTr="00DC7ED0">
        <w:tc>
          <w:tcPr>
            <w:tcW w:w="1837" w:type="dxa"/>
          </w:tcPr>
          <w:p w14:paraId="3CDB4119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Jméno a příjmení:</w:t>
            </w:r>
          </w:p>
        </w:tc>
        <w:tc>
          <w:tcPr>
            <w:tcW w:w="3937" w:type="dxa"/>
          </w:tcPr>
          <w:p w14:paraId="425D3E9D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Adresa trvalého nebo přechodného pobytu a stát:</w:t>
            </w:r>
          </w:p>
        </w:tc>
        <w:tc>
          <w:tcPr>
            <w:tcW w:w="1299" w:type="dxa"/>
          </w:tcPr>
          <w:p w14:paraId="0E37E168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Státní přísl.:</w:t>
            </w:r>
            <w:r w:rsidRPr="00F20740">
              <w:rPr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991" w:type="dxa"/>
          </w:tcPr>
          <w:p w14:paraId="10CF1A7E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Vztah ke klientovi:</w:t>
            </w:r>
          </w:p>
        </w:tc>
      </w:tr>
      <w:tr w:rsidR="009879D7" w:rsidRPr="00F20740" w14:paraId="30993E99" w14:textId="77777777" w:rsidTr="00DC7ED0">
        <w:trPr>
          <w:trHeight w:val="397"/>
        </w:trPr>
        <w:tc>
          <w:tcPr>
            <w:tcW w:w="1837" w:type="dxa"/>
            <w:vAlign w:val="center"/>
          </w:tcPr>
          <w:p w14:paraId="2380DF2D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7" w:type="dxa"/>
            <w:vAlign w:val="center"/>
          </w:tcPr>
          <w:p w14:paraId="21FE81B7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BC2FE15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vAlign w:val="center"/>
          </w:tcPr>
          <w:p w14:paraId="429A32BC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  <w:tr w:rsidR="009879D7" w:rsidRPr="00F20740" w14:paraId="0DDC22A6" w14:textId="77777777" w:rsidTr="00DC7ED0">
        <w:trPr>
          <w:trHeight w:val="397"/>
        </w:trPr>
        <w:tc>
          <w:tcPr>
            <w:tcW w:w="1837" w:type="dxa"/>
            <w:vAlign w:val="center"/>
          </w:tcPr>
          <w:p w14:paraId="0203476E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7" w:type="dxa"/>
            <w:vAlign w:val="center"/>
          </w:tcPr>
          <w:p w14:paraId="52D80440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427FB6C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vAlign w:val="center"/>
          </w:tcPr>
          <w:p w14:paraId="4CE5257E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  <w:tr w:rsidR="009879D7" w:rsidRPr="00F20740" w14:paraId="7589CBCB" w14:textId="77777777" w:rsidTr="00DC7ED0">
        <w:trPr>
          <w:trHeight w:val="397"/>
        </w:trPr>
        <w:tc>
          <w:tcPr>
            <w:tcW w:w="1837" w:type="dxa"/>
            <w:vAlign w:val="center"/>
          </w:tcPr>
          <w:p w14:paraId="512A05E8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7" w:type="dxa"/>
            <w:vAlign w:val="center"/>
          </w:tcPr>
          <w:p w14:paraId="543179AF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091617B4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vAlign w:val="center"/>
          </w:tcPr>
          <w:p w14:paraId="2F9801CC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  <w:tr w:rsidR="009879D7" w:rsidRPr="00F20740" w14:paraId="64D5606A" w14:textId="77777777" w:rsidTr="00DC7ED0">
        <w:trPr>
          <w:trHeight w:val="397"/>
        </w:trPr>
        <w:tc>
          <w:tcPr>
            <w:tcW w:w="1837" w:type="dxa"/>
            <w:vAlign w:val="center"/>
          </w:tcPr>
          <w:p w14:paraId="425C1F09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3937" w:type="dxa"/>
            <w:vAlign w:val="center"/>
          </w:tcPr>
          <w:p w14:paraId="631F7283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4878E80D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91" w:type="dxa"/>
            <w:vAlign w:val="center"/>
          </w:tcPr>
          <w:p w14:paraId="616B1A1B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noProof/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</w:tbl>
    <w:p w14:paraId="68E09DD8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vertAlign w:val="superscript"/>
          <w:lang w:eastAsia="en-US"/>
        </w:rPr>
        <w:t xml:space="preserve">1 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Uveďte všechny státy, jejichž je skutečný majitel státním příslušníkem.</w:t>
      </w:r>
    </w:p>
    <w:p w14:paraId="0C14516C" w14:textId="77777777" w:rsidR="009879D7" w:rsidRPr="00F20740" w:rsidRDefault="00000000" w:rsidP="009879D7">
      <w:pPr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18"/>
          <w:lang w:eastAsia="en-US"/>
        </w:rPr>
        <w:pict w14:anchorId="73D2B17B">
          <v:rect id="_x0000_i1027" style="width:523.3pt;height:1.5pt;mso-position-vertical:absolute" o:hralign="center" o:hrstd="t" o:hrnoshade="t" o:hr="t" fillcolor="black [3213]" stroked="f"/>
        </w:pict>
      </w:r>
    </w:p>
    <w:p w14:paraId="02844992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  <w:t>3. Prohlášení ohledně mezinárodních sankcí:</w:t>
      </w:r>
    </w:p>
    <w:p w14:paraId="28071565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Klient prohlašuje, že Česká republika vůči němu a ani vůči žádné osobě, která je s ním spojena (člen statutárního a kontrolního orgánu, fyzická nebo právnická osoba z řídící a vlastnické struktury klienta včetně skutečného majitele) </w:t>
      </w:r>
      <w:r w:rsidRPr="00F2074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neuplatňuje mezinárodní sankce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.</w:t>
      </w:r>
    </w:p>
    <w:p w14:paraId="32CC95BE" w14:textId="77777777" w:rsidR="009879D7" w:rsidRPr="00F20740" w:rsidRDefault="009879D7" w:rsidP="009879D7">
      <w:pPr>
        <w:spacing w:after="120"/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22"/>
          <w:szCs w:val="18"/>
          <w:lang w:eastAsia="en-US"/>
        </w:rPr>
        <w:t>4. Prohlášení k politicky exponované osobě:</w:t>
      </w:r>
    </w:p>
    <w:p w14:paraId="6D996087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Povinností společnosti OTE, a.s., je zjistit, zda kterákoliv z následujících osob je politicky exponovanou osobou, případně i další informace:</w:t>
      </w:r>
    </w:p>
    <w:p w14:paraId="30191853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8"/>
          <w:szCs w:val="18"/>
          <w:lang w:eastAsia="en-US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9879D7" w:rsidRPr="00F20740" w14:paraId="30028CCF" w14:textId="77777777" w:rsidTr="00DC7ED0">
        <w:tc>
          <w:tcPr>
            <w:tcW w:w="5303" w:type="dxa"/>
          </w:tcPr>
          <w:p w14:paraId="4DC6F69A" w14:textId="77777777" w:rsidR="009879D7" w:rsidRPr="00F20740" w:rsidRDefault="009879D7" w:rsidP="00DC7ED0">
            <w:pPr>
              <w:rPr>
                <w:b/>
                <w:sz w:val="18"/>
                <w:szCs w:val="18"/>
                <w:u w:val="single"/>
              </w:rPr>
            </w:pPr>
            <w:r w:rsidRPr="00F20740">
              <w:rPr>
                <w:b/>
                <w:sz w:val="18"/>
                <w:szCs w:val="18"/>
                <w:u w:val="single"/>
              </w:rPr>
              <w:t>Je-li klientem právnická osoba:</w:t>
            </w:r>
          </w:p>
          <w:p w14:paraId="64EF529A" w14:textId="77777777" w:rsidR="009879D7" w:rsidRPr="00F20740" w:rsidRDefault="009879D7" w:rsidP="009879D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statutární orgán klienta nebo jeho člen</w:t>
            </w:r>
          </w:p>
          <w:p w14:paraId="4C40C3EC" w14:textId="77777777" w:rsidR="009879D7" w:rsidRPr="00F20740" w:rsidRDefault="009879D7" w:rsidP="009879D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osoba zmocněna k podpisu smluvní dokumentace</w:t>
            </w:r>
          </w:p>
          <w:p w14:paraId="6BA916BD" w14:textId="77777777" w:rsidR="009879D7" w:rsidRPr="00F20740" w:rsidRDefault="009879D7" w:rsidP="009879D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skutečný majitel klienta</w:t>
            </w:r>
          </w:p>
          <w:p w14:paraId="50DA40FA" w14:textId="77777777" w:rsidR="009879D7" w:rsidRPr="00F20740" w:rsidRDefault="009879D7" w:rsidP="009879D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Zmocnění zástupci a Další zmocnění zástupci</w:t>
            </w:r>
          </w:p>
        </w:tc>
        <w:tc>
          <w:tcPr>
            <w:tcW w:w="5303" w:type="dxa"/>
          </w:tcPr>
          <w:p w14:paraId="5FFB9B73" w14:textId="77777777" w:rsidR="009879D7" w:rsidRPr="00F20740" w:rsidRDefault="009879D7" w:rsidP="00DC7ED0">
            <w:pPr>
              <w:rPr>
                <w:b/>
                <w:sz w:val="18"/>
                <w:szCs w:val="18"/>
                <w:u w:val="single"/>
              </w:rPr>
            </w:pPr>
            <w:r w:rsidRPr="00F20740">
              <w:rPr>
                <w:b/>
                <w:sz w:val="18"/>
                <w:szCs w:val="18"/>
                <w:u w:val="single"/>
              </w:rPr>
              <w:t>Je-li klientem fyzická osoba:</w:t>
            </w:r>
          </w:p>
          <w:p w14:paraId="52876271" w14:textId="77777777" w:rsidR="009879D7" w:rsidRPr="00F20740" w:rsidRDefault="009879D7" w:rsidP="009879D7">
            <w:pPr>
              <w:numPr>
                <w:ilvl w:val="0"/>
                <w:numId w:val="3"/>
              </w:numPr>
              <w:ind w:left="709"/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klient sám</w:t>
            </w:r>
          </w:p>
          <w:p w14:paraId="2ED876D2" w14:textId="77777777" w:rsidR="009879D7" w:rsidRPr="00F20740" w:rsidRDefault="009879D7" w:rsidP="009879D7">
            <w:pPr>
              <w:numPr>
                <w:ilvl w:val="0"/>
                <w:numId w:val="3"/>
              </w:numPr>
              <w:ind w:left="709"/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osoba zmocněna k podpisu smluvní dokumentace</w:t>
            </w:r>
          </w:p>
          <w:p w14:paraId="41533419" w14:textId="77777777" w:rsidR="009879D7" w:rsidRPr="00F20740" w:rsidRDefault="009879D7" w:rsidP="009879D7">
            <w:pPr>
              <w:numPr>
                <w:ilvl w:val="0"/>
                <w:numId w:val="3"/>
              </w:numPr>
              <w:ind w:left="709"/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t>Zmocnění zástupci a Další zmocnění zástupci</w:t>
            </w:r>
          </w:p>
        </w:tc>
      </w:tr>
    </w:tbl>
    <w:p w14:paraId="6CE09FFD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8"/>
          <w:szCs w:val="18"/>
          <w:lang w:eastAsia="en-US"/>
        </w:rPr>
      </w:pPr>
    </w:p>
    <w:p w14:paraId="00668EFF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18"/>
          <w:szCs w:val="18"/>
          <w:u w:val="single"/>
          <w:lang w:eastAsia="en-US"/>
        </w:rPr>
        <w:t>Politicky exponovanou osobou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se podle § 4 odst. 5 zákona č. 253/2008 Sb. rozumí následující osoba:</w:t>
      </w:r>
    </w:p>
    <w:p w14:paraId="79887745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6"/>
          <w:szCs w:val="18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995"/>
        <w:gridCol w:w="3680"/>
      </w:tblGrid>
      <w:tr w:rsidR="009879D7" w:rsidRPr="00F20740" w14:paraId="6D1A4EAC" w14:textId="77777777" w:rsidTr="00DC7ED0">
        <w:trPr>
          <w:trHeight w:val="613"/>
        </w:trPr>
        <w:tc>
          <w:tcPr>
            <w:tcW w:w="392" w:type="dxa"/>
            <w:shd w:val="clear" w:color="auto" w:fill="auto"/>
          </w:tcPr>
          <w:p w14:paraId="03547979" w14:textId="77777777" w:rsidR="009879D7" w:rsidRPr="00F20740" w:rsidRDefault="009879D7" w:rsidP="00DC7ED0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4995" w:type="dxa"/>
            <w:shd w:val="clear" w:color="auto" w:fill="auto"/>
          </w:tcPr>
          <w:p w14:paraId="5AC4CBEE" w14:textId="77777777" w:rsidR="009879D7" w:rsidRPr="00F20740" w:rsidRDefault="009879D7" w:rsidP="009879D7">
            <w:pPr>
              <w:numPr>
                <w:ilvl w:val="0"/>
                <w:numId w:val="5"/>
              </w:numPr>
              <w:spacing w:after="200" w:line="276" w:lineRule="auto"/>
              <w:ind w:left="455" w:hanging="283"/>
              <w:contextualSpacing/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  <w:t>Fyzická osoba, která je nebo kdykoliv v minulosti byla ve významné veřejné funkci s regionálním, celostátním nebo ještě rozsáhlejším významem, např.:</w:t>
            </w:r>
          </w:p>
          <w:p w14:paraId="4AD05369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vedoucí představitel územní samosprávy – starosta, primátor, hejtman kraje,</w:t>
            </w:r>
          </w:p>
          <w:p w14:paraId="351CCDD8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vedoucí představitel územní samosprávy cizí země s federativním uspořádáním – vedoucí představitel zemských orgánů, členové vlády a parlamentu apod.,</w:t>
            </w:r>
          </w:p>
          <w:p w14:paraId="2D11A41F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 xml:space="preserve">hlava státu, předseda vlády, vedoucí ústředního orgánu státní správy (např. ministr) a jeho zástupce (náměstek nebo státní tajemník), </w:t>
            </w:r>
          </w:p>
          <w:p w14:paraId="18D20C23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člen parlamentu, člen řídícího orgánu politické strany,</w:t>
            </w:r>
          </w:p>
          <w:p w14:paraId="4D284A25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soudce nejvyššího soudu, ústavního soudu nebo jiného nejvyššího just. orgánu, proti jehož rozhodnutí obecně až na výjimky nelze použít opravné prostředky,</w:t>
            </w:r>
          </w:p>
          <w:p w14:paraId="1DB14675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člen bankovní rady centrální banky,</w:t>
            </w:r>
          </w:p>
          <w:p w14:paraId="34E8C840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vysoký důstojník ozbrojených sil nebo sboru,</w:t>
            </w:r>
          </w:p>
          <w:p w14:paraId="61571F9B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člen statutárního orgánu nebo zástupce člena (v případě, že je členem statutárního orgánu právnická osoba) obchodní korporace ovládané státem,</w:t>
            </w:r>
          </w:p>
          <w:p w14:paraId="66646DC6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velvyslanec nebo vedoucí diplomatické mise,</w:t>
            </w:r>
          </w:p>
          <w:p w14:paraId="35D4376C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nebo fyzická osoba, která obdobnou funkci vykonává nebo vykonávala v jiném státě, orgánu EU nebo v mezinárodní organizaci.</w:t>
            </w:r>
          </w:p>
        </w:tc>
        <w:tc>
          <w:tcPr>
            <w:tcW w:w="3680" w:type="dxa"/>
            <w:shd w:val="clear" w:color="auto" w:fill="auto"/>
          </w:tcPr>
          <w:p w14:paraId="295EF2B1" w14:textId="77777777" w:rsidR="009879D7" w:rsidRPr="00F20740" w:rsidRDefault="009879D7" w:rsidP="009879D7">
            <w:pPr>
              <w:numPr>
                <w:ilvl w:val="0"/>
                <w:numId w:val="5"/>
              </w:numPr>
              <w:spacing w:after="200" w:line="276" w:lineRule="auto"/>
              <w:ind w:left="455" w:hanging="283"/>
              <w:contextualSpacing/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  <w:t>Za PEP se rovněž považuje osoba blízká k osobě v části A, např.:</w:t>
            </w:r>
          </w:p>
          <w:p w14:paraId="3A913C94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rodiče, prarodiče atd., děti, vnuci, pravnuci atd.</w:t>
            </w:r>
          </w:p>
          <w:p w14:paraId="70CDD028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bratr, sestra, manžel, manželka, partner, partnerka</w:t>
            </w:r>
          </w:p>
          <w:p w14:paraId="22B778EE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příbuzní manžela, manželky, partnera, partnerky – zeť, snacha, tchán, tchýně atd.</w:t>
            </w:r>
          </w:p>
          <w:p w14:paraId="73A7199A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osoba, která s osobou v části A trvale žije</w:t>
            </w:r>
          </w:p>
          <w:p w14:paraId="6C8E0C4C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osoba v rodinném nebo obdobném poměru k osobě v části A, pokud by újmu, kterou utrpěla jedna osoba, druhá osoba důvodně pociťovala jako vlastní újmu.</w:t>
            </w:r>
          </w:p>
          <w:p w14:paraId="207ABA6B" w14:textId="77777777" w:rsidR="009879D7" w:rsidRPr="00F20740" w:rsidRDefault="009879D7" w:rsidP="00DC7ED0">
            <w:pPr>
              <w:spacing w:after="200" w:line="276" w:lineRule="auto"/>
              <w:ind w:left="73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</w:p>
          <w:p w14:paraId="1F4E69A0" w14:textId="77777777" w:rsidR="009879D7" w:rsidRPr="00F20740" w:rsidRDefault="009879D7" w:rsidP="009879D7">
            <w:pPr>
              <w:numPr>
                <w:ilvl w:val="0"/>
                <w:numId w:val="5"/>
              </w:numPr>
              <w:spacing w:after="200" w:line="276" w:lineRule="auto"/>
              <w:ind w:left="455" w:hanging="283"/>
              <w:contextualSpacing/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b/>
                <w:sz w:val="14"/>
                <w:szCs w:val="14"/>
              </w:rPr>
              <w:t>Za PEP se rovněž považuje osoba z podnikatelského okolí osoby v části A, tj. která:</w:t>
            </w:r>
          </w:p>
          <w:p w14:paraId="1E36CEEF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je společníkem nebo skutečným majitelem stejné právnické osoby nebo svěřenského fondu jako osoba v části A, nebo</w:t>
            </w:r>
          </w:p>
          <w:p w14:paraId="37AD55F4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je v blízkém podnikatelském vztahu s osobou v části A; tím se myslí materiální provázanost v rámci podnikatelské činnosti, kdy prospěch nebo újmu jedné osoby by mohla druhá osoba důvodně pociťovat jako prospěch či újmu vlastní, nebo</w:t>
            </w:r>
          </w:p>
          <w:p w14:paraId="0FC75526" w14:textId="77777777" w:rsidR="009879D7" w:rsidRPr="00F20740" w:rsidRDefault="009879D7" w:rsidP="009879D7">
            <w:pPr>
              <w:numPr>
                <w:ilvl w:val="0"/>
                <w:numId w:val="4"/>
              </w:numPr>
              <w:spacing w:after="200" w:line="276" w:lineRule="auto"/>
              <w:ind w:left="739" w:hanging="219"/>
              <w:contextualSpacing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F20740">
              <w:rPr>
                <w:rFonts w:asciiTheme="minorHAnsi" w:eastAsiaTheme="minorEastAsia" w:hAnsiTheme="minorHAnsi" w:cstheme="minorHAnsi"/>
                <w:sz w:val="14"/>
                <w:szCs w:val="14"/>
              </w:rPr>
              <w:t>je skutečným majitelem práv. osoby nebo svěřenského fondu vytvořeného ve prospěch osoby v části A.</w:t>
            </w:r>
          </w:p>
        </w:tc>
      </w:tr>
    </w:tbl>
    <w:p w14:paraId="2548FB58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6"/>
          <w:szCs w:val="18"/>
          <w:lang w:eastAsia="en-US"/>
        </w:rPr>
      </w:pPr>
    </w:p>
    <w:p w14:paraId="7BDF374E" w14:textId="77777777" w:rsidR="009879D7" w:rsidRPr="00F20740" w:rsidRDefault="009879D7" w:rsidP="009879D7">
      <w:pPr>
        <w:ind w:left="2127" w:hanging="2127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Klient prohlašuje, že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:</w:t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FORMCHECKBOX </w:instrText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žádná z výše uvedených osob není politicky exponovanou osobou a nejedná v zájmu politicky exponované osoby (body A </w:t>
      </w:r>
      <w:proofErr w:type="spellStart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a</w:t>
      </w:r>
      <w:proofErr w:type="spellEnd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B níže nevyplňujte)</w:t>
      </w:r>
    </w:p>
    <w:p w14:paraId="3D59B175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FORMCHECKBOX </w:instrText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</w:r>
      <w:r w:rsidR="0000000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následující osoba je (následující osoby jsou) politicky exponovanou osobou (vyplňte také body A </w:t>
      </w:r>
      <w:proofErr w:type="spellStart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a</w:t>
      </w:r>
      <w:proofErr w:type="spellEnd"/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B):</w:t>
      </w:r>
    </w:p>
    <w:p w14:paraId="34F9B4BD" w14:textId="77777777" w:rsidR="009879D7" w:rsidRPr="00F20740" w:rsidRDefault="009879D7" w:rsidP="009879D7">
      <w:pPr>
        <w:rPr>
          <w:rFonts w:asciiTheme="minorHAnsi" w:eastAsiaTheme="minorHAnsi" w:hAnsiTheme="minorHAnsi" w:cstheme="minorBidi"/>
          <w:sz w:val="16"/>
          <w:szCs w:val="18"/>
          <w:lang w:eastAsia="en-US"/>
        </w:rPr>
      </w:pPr>
    </w:p>
    <w:p w14:paraId="6A978B54" w14:textId="77777777" w:rsidR="009879D7" w:rsidRPr="00F20740" w:rsidRDefault="009879D7" w:rsidP="009879D7">
      <w:pPr>
        <w:numPr>
          <w:ilvl w:val="0"/>
          <w:numId w:val="2"/>
        </w:numPr>
        <w:spacing w:after="200" w:line="276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jméno a příjmení každé osoby ve významné veřejné funkci, označení této funkce, název a stát organizace, vztah ke klientovi a byla-li funkce ukončena, přibližné datum ukončení:</w:t>
      </w:r>
    </w:p>
    <w:tbl>
      <w:tblPr>
        <w:tblStyle w:val="Mkatabulky2"/>
        <w:tblW w:w="0" w:type="auto"/>
        <w:tblInd w:w="3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62"/>
      </w:tblGrid>
      <w:tr w:rsidR="009879D7" w:rsidRPr="00F20740" w14:paraId="0308F6EC" w14:textId="77777777" w:rsidTr="00DC7ED0">
        <w:trPr>
          <w:trHeight w:val="1073"/>
        </w:trPr>
        <w:tc>
          <w:tcPr>
            <w:tcW w:w="5862" w:type="dxa"/>
          </w:tcPr>
          <w:p w14:paraId="52C8F918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</w:tbl>
    <w:p w14:paraId="09F5701D" w14:textId="77777777" w:rsidR="009879D7" w:rsidRPr="00F20740" w:rsidRDefault="009879D7" w:rsidP="009879D7">
      <w:pPr>
        <w:ind w:left="3192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27DABABE" w14:textId="77777777" w:rsidR="009879D7" w:rsidRPr="00F20740" w:rsidRDefault="009879D7" w:rsidP="009879D7">
      <w:pPr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původ majetku, který bude předmětem obchodního vztahu:</w:t>
      </w:r>
    </w:p>
    <w:tbl>
      <w:tblPr>
        <w:tblStyle w:val="Mkatabulky2"/>
        <w:tblW w:w="5872" w:type="dxa"/>
        <w:tblInd w:w="3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72"/>
      </w:tblGrid>
      <w:tr w:rsidR="009879D7" w:rsidRPr="00F20740" w14:paraId="2362766A" w14:textId="77777777" w:rsidTr="00DC7ED0">
        <w:trPr>
          <w:trHeight w:val="1005"/>
        </w:trPr>
        <w:tc>
          <w:tcPr>
            <w:tcW w:w="5872" w:type="dxa"/>
          </w:tcPr>
          <w:p w14:paraId="0D3AC9F5" w14:textId="77777777" w:rsidR="009879D7" w:rsidRPr="00F20740" w:rsidRDefault="009879D7" w:rsidP="00DC7ED0">
            <w:pPr>
              <w:rPr>
                <w:sz w:val="18"/>
                <w:szCs w:val="18"/>
              </w:rPr>
            </w:pPr>
            <w:r w:rsidRPr="00F2074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740">
              <w:rPr>
                <w:sz w:val="18"/>
                <w:szCs w:val="18"/>
              </w:rPr>
              <w:instrText xml:space="preserve"> FORMTEXT </w:instrText>
            </w:r>
            <w:r w:rsidRPr="00F20740">
              <w:rPr>
                <w:sz w:val="18"/>
                <w:szCs w:val="18"/>
              </w:rPr>
            </w:r>
            <w:r w:rsidRPr="00F20740">
              <w:rPr>
                <w:sz w:val="18"/>
                <w:szCs w:val="18"/>
              </w:rPr>
              <w:fldChar w:fldCharType="separate"/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t> </w:t>
            </w:r>
            <w:r w:rsidRPr="00F20740">
              <w:rPr>
                <w:sz w:val="18"/>
                <w:szCs w:val="18"/>
              </w:rPr>
              <w:fldChar w:fldCharType="end"/>
            </w:r>
          </w:p>
        </w:tc>
      </w:tr>
    </w:tbl>
    <w:p w14:paraId="13657765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6"/>
          <w:szCs w:val="18"/>
          <w:lang w:eastAsia="en-US"/>
        </w:rPr>
      </w:pPr>
    </w:p>
    <w:p w14:paraId="36A22656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Dále klient prohlašuje</w:t>
      </w:r>
      <w:r w:rsidRPr="00F20740">
        <w:rPr>
          <w:rFonts w:asciiTheme="minorHAnsi" w:eastAsiaTheme="minorHAnsi" w:hAnsiTheme="minorHAnsi" w:cstheme="minorHAnsi"/>
          <w:sz w:val="18"/>
          <w:szCs w:val="18"/>
          <w:lang w:eastAsia="en-US"/>
        </w:rPr>
        <w:t>, že podnikání není usazeno</w:t>
      </w:r>
      <w:r w:rsidRPr="00F20740">
        <w:rPr>
          <w:rFonts w:asciiTheme="minorHAnsi" w:eastAsiaTheme="minorHAnsi" w:hAnsiTheme="minorHAnsi" w:cstheme="minorHAnsi"/>
          <w:sz w:val="18"/>
          <w:szCs w:val="18"/>
          <w:vertAlign w:val="superscript"/>
          <w:lang w:eastAsia="en-US"/>
        </w:rPr>
        <w:t>2</w:t>
      </w:r>
      <w:r w:rsidRPr="00F2074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v rizikové zemi</w:t>
      </w:r>
      <w:r w:rsidRPr="00F20740">
        <w:rPr>
          <w:rFonts w:asciiTheme="minorHAnsi" w:eastAsiaTheme="minorHAnsi" w:hAnsiTheme="minorHAnsi" w:cstheme="minorHAnsi"/>
          <w:sz w:val="18"/>
          <w:szCs w:val="18"/>
          <w:vertAlign w:val="superscript"/>
          <w:lang w:eastAsia="en-US"/>
        </w:rPr>
        <w:t>3</w:t>
      </w:r>
      <w:r w:rsidRPr="00F20740">
        <w:rPr>
          <w:rFonts w:asciiTheme="minorHAnsi" w:eastAsiaTheme="minorHAnsi" w:hAnsiTheme="minorHAnsi" w:cstheme="minorHAnsi"/>
          <w:sz w:val="18"/>
          <w:szCs w:val="18"/>
          <w:lang w:eastAsia="en-US"/>
        </w:rPr>
        <w:t>.</w:t>
      </w:r>
    </w:p>
    <w:p w14:paraId="05A57BC3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b/>
          <w:sz w:val="16"/>
          <w:szCs w:val="18"/>
          <w:lang w:eastAsia="en-US"/>
        </w:rPr>
      </w:pPr>
    </w:p>
    <w:p w14:paraId="3889A0C9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HAnsi"/>
          <w:sz w:val="18"/>
          <w:szCs w:val="18"/>
          <w:lang w:eastAsia="en-US"/>
        </w:rPr>
        <w:t>V případě, že dojde ke změně těchto skutečnosti, zavazuji se změnu oznámit společnosti před provedením prvního obchodu</w:t>
      </w:r>
    </w:p>
    <w:p w14:paraId="12EA1AA9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HAnsi"/>
          <w:sz w:val="18"/>
          <w:szCs w:val="18"/>
          <w:lang w:eastAsia="en-US"/>
        </w:rPr>
        <w:t>následujícího po této změně.</w:t>
      </w:r>
    </w:p>
    <w:p w14:paraId="3A0D7E7E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6"/>
          <w:szCs w:val="18"/>
          <w:lang w:eastAsia="en-US"/>
        </w:rPr>
      </w:pPr>
    </w:p>
    <w:p w14:paraId="32BA6AFC" w14:textId="77777777" w:rsidR="009879D7" w:rsidRPr="00F20740" w:rsidRDefault="009879D7" w:rsidP="009879D7">
      <w:pPr>
        <w:spacing w:line="276" w:lineRule="auto"/>
        <w:rPr>
          <w:rFonts w:asciiTheme="minorHAnsi" w:eastAsiaTheme="minorHAnsi" w:hAnsiTheme="minorHAnsi" w:cstheme="minorHAnsi"/>
          <w:sz w:val="14"/>
          <w:szCs w:val="18"/>
          <w:lang w:eastAsia="en-US"/>
        </w:rPr>
      </w:pPr>
      <w:r w:rsidRPr="00F20740">
        <w:rPr>
          <w:rFonts w:asciiTheme="minorHAnsi" w:eastAsiaTheme="minorHAnsi" w:hAnsiTheme="minorHAnsi" w:cstheme="minorHAnsi"/>
          <w:sz w:val="14"/>
          <w:szCs w:val="18"/>
          <w:vertAlign w:val="superscript"/>
          <w:lang w:eastAsia="en-US"/>
        </w:rPr>
        <w:t>2</w:t>
      </w:r>
      <w:r w:rsidRPr="00F20740">
        <w:rPr>
          <w:rFonts w:asciiTheme="minorHAnsi" w:eastAsiaTheme="minorHAnsi" w:hAnsiTheme="minorHAnsi" w:cstheme="minorHAnsi"/>
          <w:sz w:val="14"/>
          <w:szCs w:val="18"/>
          <w:lang w:eastAsia="en-US"/>
        </w:rPr>
        <w:t xml:space="preserve"> Usazením se rozumí stálý a nepřetržitý výkon hospodářské činnosti</w:t>
      </w:r>
    </w:p>
    <w:p w14:paraId="34A71CC4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28"/>
          <w:szCs w:val="18"/>
          <w:lang w:eastAsia="en-US"/>
        </w:rPr>
      </w:pPr>
      <w:r w:rsidRPr="00F20740">
        <w:rPr>
          <w:rFonts w:asciiTheme="minorHAnsi" w:eastAsiaTheme="minorHAnsi" w:hAnsiTheme="minorHAnsi" w:cstheme="minorHAnsi"/>
          <w:sz w:val="14"/>
          <w:szCs w:val="18"/>
          <w:vertAlign w:val="superscript"/>
          <w:lang w:eastAsia="en-US"/>
        </w:rPr>
        <w:t>3</w:t>
      </w:r>
      <w:r w:rsidRPr="00F20740">
        <w:rPr>
          <w:rFonts w:asciiTheme="minorHAnsi" w:eastAsiaTheme="minorHAnsi" w:hAnsiTheme="minorHAnsi" w:cstheme="minorHAnsi"/>
          <w:sz w:val="14"/>
          <w:szCs w:val="18"/>
          <w:lang w:eastAsia="en-US"/>
        </w:rPr>
        <w:t xml:space="preserve"> Rizikovou zemí se rozumí země, kterou tak označila Evropská komise nařízením o identifikaci vysoce rizikových třetích zemí se strategickými nedostatky v oblasti prevence praní špinavých peněz a financování terorismu.</w:t>
      </w:r>
    </w:p>
    <w:p w14:paraId="0A074F2B" w14:textId="77777777" w:rsidR="009879D7" w:rsidRPr="00F20740" w:rsidRDefault="00000000" w:rsidP="009879D7">
      <w:pPr>
        <w:rPr>
          <w:rFonts w:asciiTheme="minorHAnsi" w:eastAsiaTheme="minorHAnsi" w:hAnsiTheme="minorHAnsi" w:cstheme="minorBidi"/>
          <w:sz w:val="28"/>
          <w:szCs w:val="1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18"/>
          <w:lang w:eastAsia="en-US"/>
        </w:rPr>
        <w:pict w14:anchorId="74EFBA63">
          <v:rect id="_x0000_i1028" style="width:523.3pt;height:1.5pt;mso-position-vertical:absolute" o:hralign="center" o:hrstd="t" o:hrnoshade="t" o:hr="t" fillcolor="black [3213]" stroked="f"/>
        </w:pict>
      </w:r>
    </w:p>
    <w:p w14:paraId="5574CE6E" w14:textId="77777777" w:rsidR="009879D7" w:rsidRPr="00F20740" w:rsidRDefault="009879D7" w:rsidP="009879D7">
      <w:pPr>
        <w:spacing w:after="200" w:line="276" w:lineRule="auto"/>
        <w:rPr>
          <w:rFonts w:asciiTheme="minorHAnsi" w:eastAsiaTheme="minorHAnsi" w:hAnsiTheme="minorHAnsi" w:cstheme="minorBidi"/>
          <w:b/>
          <w:sz w:val="2"/>
          <w:lang w:eastAsia="en-US"/>
        </w:rPr>
      </w:pPr>
    </w:p>
    <w:p w14:paraId="7D20396F" w14:textId="77777777" w:rsidR="009879D7" w:rsidRPr="00F20740" w:rsidRDefault="009879D7" w:rsidP="009879D7">
      <w:pPr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0740">
        <w:rPr>
          <w:rFonts w:asciiTheme="minorHAnsi" w:eastAsiaTheme="minorHAnsi" w:hAnsiTheme="minorHAnsi" w:cstheme="minorBidi"/>
          <w:sz w:val="18"/>
          <w:szCs w:val="18"/>
          <w:lang w:eastAsia="en-US"/>
        </w:rPr>
        <w:t>Klient svým podpisem prohlašuje, že zde uvedené údaje jsou správné, pravdivé a úplné. Dále se klient zavazuje, že neprodleně poté, co dojde ke změně kterékoliv zde prohlášené změny, tuto změnu ohlásí společnosti OTE, a.s.</w:t>
      </w:r>
    </w:p>
    <w:p w14:paraId="5848519B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6"/>
          <w:szCs w:val="18"/>
          <w:lang w:eastAsia="en-US"/>
        </w:rPr>
      </w:pPr>
    </w:p>
    <w:p w14:paraId="696F91EE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8"/>
          <w:szCs w:val="18"/>
          <w:lang w:eastAsia="en-US"/>
        </w:rPr>
      </w:pP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t xml:space="preserve">v </w: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begin">
          <w:ffData>
            <w:name w:val="Text6"/>
            <w:enabled/>
            <w:calcOnExit w:val="0"/>
            <w:textInput>
              <w:default w:val="                                    "/>
            </w:textInput>
          </w:ffData>
        </w:fldChar>
      </w:r>
      <w:bookmarkStart w:id="5" w:name="Text6"/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instrText xml:space="preserve"> FORMTEXT </w:instrTex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separate"/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 xml:space="preserve">                                    </w: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end"/>
      </w:r>
      <w:bookmarkEnd w:id="5"/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t xml:space="preserve"> dne </w: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instrText xml:space="preserve"> FORMTEXT </w:instrTex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separate"/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> </w:t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> </w:t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> </w:t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> </w:t>
      </w:r>
      <w:r w:rsidRPr="00F20740">
        <w:rPr>
          <w:rFonts w:ascii="Calibri" w:eastAsiaTheme="minorHAnsi" w:hAnsi="Calibri" w:cs="Calibri"/>
          <w:bCs/>
          <w:noProof/>
          <w:sz w:val="18"/>
          <w:szCs w:val="18"/>
          <w:lang w:eastAsia="en-US"/>
        </w:rPr>
        <w:t> </w:t>
      </w:r>
      <w:r w:rsidRPr="00F20740">
        <w:rPr>
          <w:rFonts w:ascii="Calibri" w:eastAsiaTheme="minorHAnsi" w:hAnsi="Calibri" w:cs="Calibri"/>
          <w:bCs/>
          <w:sz w:val="18"/>
          <w:szCs w:val="18"/>
          <w:lang w:eastAsia="en-US"/>
        </w:rPr>
        <w:fldChar w:fldCharType="end"/>
      </w:r>
    </w:p>
    <w:p w14:paraId="783E4381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8"/>
          <w:szCs w:val="18"/>
          <w:lang w:eastAsia="en-US"/>
        </w:rPr>
      </w:pPr>
    </w:p>
    <w:p w14:paraId="07B0A939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8"/>
          <w:szCs w:val="18"/>
          <w:lang w:eastAsia="en-US"/>
        </w:rPr>
      </w:pPr>
    </w:p>
    <w:p w14:paraId="1F589ED7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8"/>
          <w:szCs w:val="18"/>
          <w:lang w:eastAsia="en-US"/>
        </w:rPr>
      </w:pPr>
    </w:p>
    <w:p w14:paraId="25D25B40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18"/>
          <w:szCs w:val="18"/>
          <w:lang w:eastAsia="en-US"/>
        </w:rPr>
      </w:pPr>
    </w:p>
    <w:tbl>
      <w:tblPr>
        <w:tblStyle w:val="Mkatabulky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446"/>
        <w:gridCol w:w="3313"/>
      </w:tblGrid>
      <w:tr w:rsidR="009879D7" w:rsidRPr="00F20740" w14:paraId="6C0862F1" w14:textId="77777777" w:rsidTr="00DC7ED0">
        <w:tc>
          <w:tcPr>
            <w:tcW w:w="3535" w:type="dxa"/>
          </w:tcPr>
          <w:p w14:paraId="1203621F" w14:textId="77777777" w:rsidR="009879D7" w:rsidRPr="00F20740" w:rsidRDefault="009879D7" w:rsidP="00DC7E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statutární zástupce společnosti"/>
                  </w:textInput>
                </w:ffData>
              </w:fldCha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F20740">
              <w:rPr>
                <w:rFonts w:ascii="Calibri" w:hAnsi="Calibri" w:cs="Calibri"/>
                <w:bCs/>
                <w:noProof/>
                <w:sz w:val="18"/>
                <w:szCs w:val="18"/>
              </w:rPr>
              <w:t>statutární zástupce společnosti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F20740">
              <w:rPr>
                <w:sz w:val="18"/>
                <w:szCs w:val="18"/>
              </w:rPr>
              <w:t xml:space="preserve">, 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F20740">
              <w:rPr>
                <w:rFonts w:ascii="Calibri" w:hAnsi="Calibri" w:cs="Calibri"/>
                <w:bCs/>
                <w:noProof/>
                <w:sz w:val="18"/>
                <w:szCs w:val="18"/>
              </w:rPr>
              <w:t>funkce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9" w:type="dxa"/>
            <w:tcBorders>
              <w:top w:val="nil"/>
            </w:tcBorders>
          </w:tcPr>
          <w:p w14:paraId="26D7F7C2" w14:textId="77777777" w:rsidR="009879D7" w:rsidRPr="00F20740" w:rsidRDefault="009879D7" w:rsidP="00DC7E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36" w:type="dxa"/>
          </w:tcPr>
          <w:p w14:paraId="4648A5AB" w14:textId="77777777" w:rsidR="009879D7" w:rsidRPr="00F20740" w:rsidRDefault="009879D7" w:rsidP="00DC7E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statutární zástupce společnosti"/>
                  </w:textInput>
                </w:ffData>
              </w:fldCha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F20740">
              <w:rPr>
                <w:rFonts w:ascii="Calibri" w:hAnsi="Calibri" w:cs="Calibri"/>
                <w:bCs/>
                <w:noProof/>
                <w:sz w:val="18"/>
                <w:szCs w:val="18"/>
              </w:rPr>
              <w:t>statutární zástupce společnosti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F20740">
              <w:rPr>
                <w:sz w:val="18"/>
                <w:szCs w:val="18"/>
              </w:rPr>
              <w:t xml:space="preserve">, 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F20740">
              <w:rPr>
                <w:rFonts w:ascii="Calibri" w:hAnsi="Calibri" w:cs="Calibri"/>
                <w:bCs/>
                <w:noProof/>
                <w:sz w:val="18"/>
                <w:szCs w:val="18"/>
              </w:rPr>
              <w:t>funkce</w:t>
            </w:r>
            <w:r w:rsidRPr="00F2074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</w:tbl>
    <w:p w14:paraId="18C89EE1" w14:textId="77777777" w:rsidR="009879D7" w:rsidRPr="00F20740" w:rsidRDefault="009879D7" w:rsidP="009879D7">
      <w:pPr>
        <w:rPr>
          <w:rFonts w:ascii="Calibri" w:eastAsiaTheme="minorHAnsi" w:hAnsi="Calibri" w:cs="Calibri"/>
          <w:bCs/>
          <w:sz w:val="2"/>
          <w:szCs w:val="18"/>
          <w:lang w:eastAsia="en-US"/>
        </w:rPr>
      </w:pPr>
    </w:p>
    <w:bookmarkEnd w:id="0"/>
    <w:bookmarkEnd w:id="1"/>
    <w:bookmarkEnd w:id="2"/>
    <w:bookmarkEnd w:id="3"/>
    <w:bookmarkEnd w:id="4"/>
    <w:p w14:paraId="6383E3CB" w14:textId="77777777" w:rsidR="009879D7" w:rsidRPr="003A29AE" w:rsidRDefault="009879D7" w:rsidP="009879D7">
      <w:pPr>
        <w:pStyle w:val="Bezmezer"/>
        <w:rPr>
          <w:rFonts w:ascii="Calibri" w:hAnsi="Calibri" w:cs="Calibri"/>
          <w:bCs/>
          <w:sz w:val="2"/>
          <w:szCs w:val="18"/>
        </w:rPr>
      </w:pPr>
    </w:p>
    <w:p w14:paraId="55C6DC94" w14:textId="77777777" w:rsidR="009879D7" w:rsidRPr="00B94C10" w:rsidRDefault="009879D7" w:rsidP="009879D7">
      <w:pPr>
        <w:pStyle w:val="N1"/>
      </w:pPr>
    </w:p>
    <w:p w14:paraId="45A6C658" w14:textId="77777777" w:rsidR="00965F3F" w:rsidRDefault="00965F3F"/>
    <w:sectPr w:rsidR="0096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8DD" w14:textId="77777777" w:rsidR="001E547B" w:rsidRDefault="001E547B" w:rsidP="009879D7">
      <w:r>
        <w:separator/>
      </w:r>
    </w:p>
  </w:endnote>
  <w:endnote w:type="continuationSeparator" w:id="0">
    <w:p w14:paraId="262AE3D2" w14:textId="77777777" w:rsidR="001E547B" w:rsidRDefault="001E547B" w:rsidP="0098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059E" w14:textId="77777777" w:rsidR="001E547B" w:rsidRDefault="001E547B" w:rsidP="009879D7">
      <w:r>
        <w:separator/>
      </w:r>
    </w:p>
  </w:footnote>
  <w:footnote w:type="continuationSeparator" w:id="0">
    <w:p w14:paraId="11CEF929" w14:textId="77777777" w:rsidR="001E547B" w:rsidRDefault="001E547B" w:rsidP="0098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E4E"/>
    <w:multiLevelType w:val="hybridMultilevel"/>
    <w:tmpl w:val="1280F6F8"/>
    <w:lvl w:ilvl="0" w:tplc="04050015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73B64A4"/>
    <w:multiLevelType w:val="hybridMultilevel"/>
    <w:tmpl w:val="8AC6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B3817"/>
    <w:multiLevelType w:val="hybridMultilevel"/>
    <w:tmpl w:val="54B297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30DFC"/>
    <w:multiLevelType w:val="hybridMultilevel"/>
    <w:tmpl w:val="8ABCD9E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6BFF"/>
    <w:multiLevelType w:val="hybridMultilevel"/>
    <w:tmpl w:val="EB98A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84E0B"/>
    <w:multiLevelType w:val="hybridMultilevel"/>
    <w:tmpl w:val="9B2EA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92149">
    <w:abstractNumId w:val="4"/>
  </w:num>
  <w:num w:numId="2" w16cid:durableId="1045371259">
    <w:abstractNumId w:val="0"/>
  </w:num>
  <w:num w:numId="3" w16cid:durableId="1063141701">
    <w:abstractNumId w:val="2"/>
  </w:num>
  <w:num w:numId="4" w16cid:durableId="1054962399">
    <w:abstractNumId w:val="5"/>
  </w:num>
  <w:num w:numId="5" w16cid:durableId="420954354">
    <w:abstractNumId w:val="3"/>
  </w:num>
  <w:num w:numId="6" w16cid:durableId="131467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7"/>
    <w:rsid w:val="001E547B"/>
    <w:rsid w:val="004C7538"/>
    <w:rsid w:val="00950F3A"/>
    <w:rsid w:val="00965F3F"/>
    <w:rsid w:val="009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ACD3"/>
  <w15:chartTrackingRefBased/>
  <w15:docId w15:val="{948E8941-10BB-49A3-9845-07455BD0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9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1">
    <w:name w:val="N1"/>
    <w:basedOn w:val="Normln"/>
    <w:rsid w:val="009879D7"/>
    <w:pPr>
      <w:spacing w:before="120"/>
      <w:ind w:left="737"/>
      <w:jc w:val="both"/>
    </w:pPr>
    <w:rPr>
      <w:szCs w:val="20"/>
    </w:rPr>
  </w:style>
  <w:style w:type="paragraph" w:styleId="Bezmezer">
    <w:name w:val="No Spacing"/>
    <w:uiPriority w:val="1"/>
    <w:qFormat/>
    <w:rsid w:val="009879D7"/>
    <w:pPr>
      <w:spacing w:after="0" w:line="240" w:lineRule="auto"/>
    </w:pPr>
    <w:rPr>
      <w:kern w:val="0"/>
      <w14:ligatures w14:val="none"/>
    </w:rPr>
  </w:style>
  <w:style w:type="table" w:customStyle="1" w:styleId="Mkatabulky2">
    <w:name w:val="Mřížka tabulky2"/>
    <w:basedOn w:val="Normlntabulka"/>
    <w:next w:val="Mkatabulky"/>
    <w:uiPriority w:val="59"/>
    <w:rsid w:val="009879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8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79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79D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79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79D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1511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Hons, Jindrich</dc:creator>
  <cp:keywords/>
  <dc:description/>
  <cp:lastModifiedBy>Hons, Jindrich</cp:lastModifiedBy>
  <cp:revision>2</cp:revision>
  <dcterms:created xsi:type="dcterms:W3CDTF">2023-10-04T10:06:00Z</dcterms:created>
  <dcterms:modified xsi:type="dcterms:W3CDTF">2023-10-04T11:09:00Z</dcterms:modified>
</cp:coreProperties>
</file>